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B" w:rsidRPr="00C4161B" w:rsidRDefault="00C4161B" w:rsidP="00C4161B">
      <w:pPr>
        <w:jc w:val="right"/>
        <w:rPr>
          <w:b/>
          <w:sz w:val="24"/>
          <w:szCs w:val="24"/>
        </w:rPr>
      </w:pPr>
      <w:bookmarkStart w:id="0" w:name="_GoBack"/>
      <w:bookmarkEnd w:id="0"/>
      <w:r w:rsidRPr="00C4161B">
        <w:rPr>
          <w:b/>
          <w:sz w:val="24"/>
          <w:szCs w:val="24"/>
        </w:rPr>
        <w:t>4/1/2017</w:t>
      </w:r>
    </w:p>
    <w:p w:rsidR="00C4161B" w:rsidRPr="00C4161B" w:rsidRDefault="00C4161B" w:rsidP="00C4161B">
      <w:pPr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Ενημερωτικό </w:t>
      </w:r>
      <w:r w:rsidRPr="00C4161B">
        <w:rPr>
          <w:b/>
          <w:color w:val="00B0F0"/>
          <w:sz w:val="24"/>
          <w:szCs w:val="24"/>
        </w:rPr>
        <w:t xml:space="preserve">ΔΕΛΤΙΟ ΤΥΠΟΥ </w:t>
      </w:r>
      <w:r>
        <w:rPr>
          <w:b/>
          <w:color w:val="00B0F0"/>
          <w:sz w:val="24"/>
          <w:szCs w:val="24"/>
        </w:rPr>
        <w:t xml:space="preserve">– </w:t>
      </w:r>
      <w:r>
        <w:rPr>
          <w:b/>
          <w:color w:val="00B0F0"/>
          <w:sz w:val="24"/>
          <w:szCs w:val="24"/>
          <w:lang w:val="en-US"/>
        </w:rPr>
        <w:t>GAIA</w:t>
      </w:r>
      <w:r w:rsidRPr="00C4161B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ΕΠΙΧΕΙΡΕΙΝ</w:t>
      </w:r>
    </w:p>
    <w:p w:rsidR="00C4161B" w:rsidRDefault="00C4161B" w:rsidP="00C4161B">
      <w:pPr>
        <w:jc w:val="both"/>
      </w:pPr>
    </w:p>
    <w:p w:rsidR="00C4161B" w:rsidRDefault="00C4161B" w:rsidP="00C4161B">
      <w:pPr>
        <w:jc w:val="both"/>
      </w:pPr>
      <w:r>
        <w:t xml:space="preserve">Καθώς η λειτουργία των πιστοποιημένων φορέων διαχείρισης αιτήσεων ΟΣΔΕ αποτελεί επίκαιρο δημόσιο θέμα, η </w:t>
      </w:r>
      <w:r>
        <w:rPr>
          <w:lang w:val="en-US"/>
        </w:rPr>
        <w:t>GAIA</w:t>
      </w:r>
      <w:r w:rsidRPr="00486412">
        <w:t xml:space="preserve"> </w:t>
      </w:r>
      <w:r>
        <w:t xml:space="preserve">ΕΠΙΧΕΙΡΕΙΝ ενημερώνει ότι έχει αναλάβει σχετικές πρωτοβουλίες συζήτησης και ενημέρωσης προκειμένου τα Κέντρα Εξυπηρέτησης Αγροτών (ΚΕΑ) να συμβάλλουν στον μηδενισμό των απωλειών των επιδοτήσεων αυτών πους τις δικαιούνται. </w:t>
      </w:r>
    </w:p>
    <w:p w:rsidR="00C4161B" w:rsidRDefault="00C4161B" w:rsidP="00C4161B">
      <w:pPr>
        <w:jc w:val="both"/>
      </w:pPr>
      <w:r>
        <w:t xml:space="preserve">Στο ίδιο πλαίσιο, η </w:t>
      </w:r>
      <w:r>
        <w:rPr>
          <w:lang w:val="en-US"/>
        </w:rPr>
        <w:t>GAIA</w:t>
      </w:r>
      <w:r w:rsidRPr="005173D0">
        <w:t xml:space="preserve"> </w:t>
      </w:r>
      <w:r>
        <w:t xml:space="preserve">ΕΠΙΧΕΙΡΕΙΝ ως Φορέας Συντονισμού του έργου υποβοήθησης των αγροτών για την υποβολή της δήλωσης ΟΣΔΕ, υποβάλει στον ΟΠΕΚΕΠΕ σε ετήσια βάση </w:t>
      </w:r>
      <w:r w:rsidRPr="00507964">
        <w:rPr>
          <w:b/>
          <w:u w:val="single"/>
        </w:rPr>
        <w:t>απολογιστική έκθεση λειτουργίας των πιστοποιημένων Φορέων Α’ και Β΄ Βαθμού</w:t>
      </w:r>
      <w:r>
        <w:t xml:space="preserve">. Αποτιμώντας τις λειτουργικές και οργανωτικές πτυχές του έργου, η </w:t>
      </w:r>
      <w:r>
        <w:rPr>
          <w:lang w:val="en-US"/>
        </w:rPr>
        <w:t>GAIA</w:t>
      </w:r>
      <w:r w:rsidRPr="00AB1F3E">
        <w:t xml:space="preserve"> </w:t>
      </w:r>
      <w:r>
        <w:t xml:space="preserve">ΕΠΙΧΕΙΡΕΙΝ καταθέτει κάθε χρόνο τεκμηριωμένες προτάσεις για την </w:t>
      </w:r>
      <w:r w:rsidRPr="005173D0">
        <w:t xml:space="preserve">περαιτέρω αναβάθμιση των παρεχομένων υπηρεσιών προς </w:t>
      </w:r>
      <w:r>
        <w:t>τους πιστοποιημένους</w:t>
      </w:r>
      <w:r w:rsidRPr="005173D0">
        <w:t xml:space="preserve"> φορείς που συμβάλουν αποφασιστικά</w:t>
      </w:r>
      <w:r>
        <w:t>: α)</w:t>
      </w:r>
      <w:r w:rsidRPr="005173D0">
        <w:t xml:space="preserve"> στην έγκαιρη συλλογή των αιτήσεων, </w:t>
      </w:r>
      <w:r>
        <w:t xml:space="preserve">β) </w:t>
      </w:r>
      <w:r w:rsidRPr="005173D0">
        <w:t xml:space="preserve">στην αναβάθμιση των δυνατοτήτων εκτέλεσης και ελέγχου της διαδικασίας </w:t>
      </w:r>
      <w:proofErr w:type="spellStart"/>
      <w:r w:rsidRPr="005173D0">
        <w:t>αποσφαλμάτωσης</w:t>
      </w:r>
      <w:proofErr w:type="spellEnd"/>
      <w:r w:rsidRPr="005173D0">
        <w:t xml:space="preserve">, </w:t>
      </w:r>
      <w:r>
        <w:t xml:space="preserve">γ) </w:t>
      </w:r>
      <w:r w:rsidRPr="005173D0">
        <w:t xml:space="preserve">στον αποτελεσματικότερο συντονισμό των φορέων και </w:t>
      </w:r>
      <w:r>
        <w:t>δ)</w:t>
      </w:r>
      <w:r w:rsidRPr="005173D0">
        <w:t xml:space="preserve"> στην καλύτερη εποπτεία και αξιολόγηση των φορέων από τον ΟΠΕΚΕΠΕ.</w:t>
      </w:r>
    </w:p>
    <w:p w:rsidR="006A686C" w:rsidRPr="006A686C" w:rsidRDefault="00C4161B" w:rsidP="00C4161B">
      <w:pPr>
        <w:pStyle w:val="NoSpacing"/>
        <w:jc w:val="both"/>
      </w:pPr>
      <w:r w:rsidRPr="00AB1F3E">
        <w:t xml:space="preserve">Επιπρόσθετα, η </w:t>
      </w:r>
      <w:r w:rsidRPr="00AB1F3E">
        <w:rPr>
          <w:lang w:val="en-US"/>
        </w:rPr>
        <w:t>GAIA</w:t>
      </w:r>
      <w:r w:rsidRPr="00AB1F3E">
        <w:t xml:space="preserve"> ΕΠΙΧΕΙΡΕΙΝ ανακοινώνει ότι διακόπτει τη συνεργασία της με τα Κέντρα Εξυπηρέτησης Αγροτών που λειτουργούν υπό τον «Αγροτικό Συνεταιρισμό Λιβαδειάς Ο ΑΙΧΜΕΑΣ» και τον «Αγροτικό Συνεταιρισμό Επεξεργασίας &amp; Εμπορίας Αγροτικών Προϊόντων Παραγωγών Αγρινίου ‘’ΕΝΩΣΗ ΑΓΡΙΝΙΟΥ’’». Σε αυτές τις περιοχές σύντομα θα λειτουργήσουν νέα ΚΕΑ υπό την εποπτεία διαφορετικών συνεταιρισμών.</w:t>
      </w:r>
    </w:p>
    <w:p w:rsidR="00FC6278" w:rsidRDefault="00FC6278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Default="00C4161B" w:rsidP="00FC6278">
      <w:pPr>
        <w:pStyle w:val="NoSpacing"/>
        <w:jc w:val="both"/>
        <w:rPr>
          <w:sz w:val="20"/>
        </w:rPr>
      </w:pPr>
    </w:p>
    <w:p w:rsidR="00C4161B" w:rsidRPr="00FC6278" w:rsidRDefault="00C4161B" w:rsidP="00FC6278">
      <w:pPr>
        <w:pStyle w:val="NoSpacing"/>
        <w:jc w:val="both"/>
        <w:rPr>
          <w:sz w:val="20"/>
        </w:rPr>
      </w:pPr>
    </w:p>
    <w:p w:rsidR="000F6CAE" w:rsidRDefault="000F6CAE" w:rsidP="00641C9A">
      <w:pPr>
        <w:pStyle w:val="NoSpacing"/>
        <w:jc w:val="both"/>
        <w:rPr>
          <w:sz w:val="18"/>
        </w:rPr>
      </w:pPr>
    </w:p>
    <w:p w:rsidR="00B57F68" w:rsidRPr="00BC33C5" w:rsidRDefault="00B57F68" w:rsidP="00641C9A">
      <w:pPr>
        <w:pStyle w:val="NoSpacing"/>
        <w:jc w:val="both"/>
        <w:rPr>
          <w:sz w:val="18"/>
        </w:rPr>
      </w:pPr>
      <w:r w:rsidRPr="00BC33C5">
        <w:rPr>
          <w:sz w:val="18"/>
        </w:rPr>
        <w:t>Για οποιαδήποτε ερ</w:t>
      </w:r>
      <w:r w:rsidR="000B70C9">
        <w:rPr>
          <w:sz w:val="18"/>
        </w:rPr>
        <w:t xml:space="preserve">ώτηση ή πληροφορία μπορείτε να στείλετε </w:t>
      </w:r>
      <w:r w:rsidRPr="00BC33C5">
        <w:rPr>
          <w:sz w:val="18"/>
        </w:rPr>
        <w:t>e-</w:t>
      </w:r>
      <w:proofErr w:type="spellStart"/>
      <w:r w:rsidRPr="00BC33C5">
        <w:rPr>
          <w:sz w:val="18"/>
        </w:rPr>
        <w:t>mail</w:t>
      </w:r>
      <w:proofErr w:type="spellEnd"/>
      <w:r w:rsidRPr="00BC33C5">
        <w:rPr>
          <w:sz w:val="18"/>
        </w:rPr>
        <w:t xml:space="preserve"> στο</w:t>
      </w:r>
      <w:r w:rsidR="00BC33C5">
        <w:rPr>
          <w:sz w:val="18"/>
        </w:rPr>
        <w:t xml:space="preserve"> </w:t>
      </w:r>
      <w:hyperlink r:id="rId6" w:history="1">
        <w:r w:rsidR="00BC33C5" w:rsidRPr="002E1FE7">
          <w:rPr>
            <w:rStyle w:val="Hyperlink"/>
            <w:sz w:val="18"/>
            <w:lang w:val="en-US"/>
          </w:rPr>
          <w:t>marketing</w:t>
        </w:r>
        <w:r w:rsidR="00BC33C5" w:rsidRPr="002E1FE7">
          <w:rPr>
            <w:rStyle w:val="Hyperlink"/>
            <w:sz w:val="18"/>
          </w:rPr>
          <w:t>@</w:t>
        </w:r>
        <w:r w:rsidR="00BC33C5" w:rsidRPr="002E1FE7">
          <w:rPr>
            <w:rStyle w:val="Hyperlink"/>
            <w:sz w:val="18"/>
            <w:lang w:val="en-US"/>
          </w:rPr>
          <w:t>c</w:t>
        </w:r>
        <w:r w:rsidR="00BC33C5" w:rsidRPr="002E1FE7">
          <w:rPr>
            <w:rStyle w:val="Hyperlink"/>
            <w:sz w:val="18"/>
          </w:rPr>
          <w:t>-</w:t>
        </w:r>
        <w:proofErr w:type="spellStart"/>
        <w:r w:rsidR="00BC33C5" w:rsidRPr="002E1FE7">
          <w:rPr>
            <w:rStyle w:val="Hyperlink"/>
            <w:sz w:val="18"/>
            <w:lang w:val="en-US"/>
          </w:rPr>
          <w:t>gaia</w:t>
        </w:r>
        <w:proofErr w:type="spellEnd"/>
        <w:r w:rsidR="00BC33C5" w:rsidRPr="002E1FE7">
          <w:rPr>
            <w:rStyle w:val="Hyperlink"/>
            <w:sz w:val="18"/>
          </w:rPr>
          <w:t>.</w:t>
        </w:r>
        <w:r w:rsidR="00BC33C5" w:rsidRPr="002E1FE7">
          <w:rPr>
            <w:rStyle w:val="Hyperlink"/>
            <w:sz w:val="18"/>
            <w:lang w:val="en-US"/>
          </w:rPr>
          <w:t>gr</w:t>
        </w:r>
      </w:hyperlink>
      <w:r w:rsidR="00BC33C5" w:rsidRPr="00BC33C5">
        <w:rPr>
          <w:sz w:val="18"/>
        </w:rPr>
        <w:t xml:space="preserve"> </w:t>
      </w:r>
      <w:r w:rsidRPr="00BC33C5">
        <w:rPr>
          <w:sz w:val="18"/>
        </w:rPr>
        <w:t xml:space="preserve">ή να καλείτε </w:t>
      </w:r>
      <w:r w:rsidR="000B70C9">
        <w:rPr>
          <w:sz w:val="18"/>
        </w:rPr>
        <w:t>στο 2130187300. (κ</w:t>
      </w:r>
      <w:r w:rsidRPr="00BC33C5">
        <w:rPr>
          <w:sz w:val="18"/>
        </w:rPr>
        <w:t xml:space="preserve">α </w:t>
      </w:r>
      <w:r w:rsidR="000B70C9">
        <w:rPr>
          <w:sz w:val="18"/>
        </w:rPr>
        <w:t>Πολυμενάκου)</w:t>
      </w:r>
    </w:p>
    <w:sectPr w:rsidR="00B57F68" w:rsidRPr="00BC33C5" w:rsidSect="00C4161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851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8" w:rsidRDefault="009512F8">
      <w:r>
        <w:separator/>
      </w:r>
    </w:p>
  </w:endnote>
  <w:endnote w:type="continuationSeparator" w:id="0">
    <w:p w:rsidR="009512F8" w:rsidRDefault="0095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 Light">
    <w:altName w:val="Segoe UI Semilight"/>
    <w:charset w:val="A1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12" w:rsidRDefault="00925ABA" w:rsidP="001E4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A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A12" w:rsidRDefault="007D2A12" w:rsidP="00772E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12" w:rsidRDefault="00925ABA" w:rsidP="001E4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A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61B">
      <w:rPr>
        <w:rStyle w:val="PageNumber"/>
        <w:noProof/>
      </w:rPr>
      <w:t>2</w:t>
    </w:r>
    <w:r>
      <w:rPr>
        <w:rStyle w:val="PageNumber"/>
      </w:rPr>
      <w:fldChar w:fldCharType="end"/>
    </w:r>
  </w:p>
  <w:p w:rsidR="007D2A12" w:rsidRDefault="007D2A12" w:rsidP="00772EF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B" w:rsidRPr="00020893" w:rsidRDefault="00C4161B" w:rsidP="00C4161B">
    <w:pPr>
      <w:rPr>
        <w:rFonts w:ascii="Open Sans Light" w:hAnsi="Open Sans Light" w:cs="Open Sans Light"/>
        <w:sz w:val="4"/>
        <w:szCs w:val="4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38100</wp:posOffset>
          </wp:positionV>
          <wp:extent cx="7783830" cy="45085"/>
          <wp:effectExtent l="0" t="0" r="7620" b="0"/>
          <wp:wrapNone/>
          <wp:docPr id="20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893">
      <w:rPr>
        <w:rFonts w:ascii="Open Sans Light" w:hAnsi="Open Sans Light" w:cs="Open Sans Light"/>
        <w:sz w:val="4"/>
        <w:szCs w:val="4"/>
      </w:rPr>
      <w:t xml:space="preserve"> </w:t>
    </w:r>
  </w:p>
  <w:p w:rsidR="00C4161B" w:rsidRPr="0026265E" w:rsidRDefault="00C4161B" w:rsidP="00C4161B">
    <w:pPr>
      <w:tabs>
        <w:tab w:val="left" w:pos="1418"/>
        <w:tab w:val="left" w:pos="5387"/>
        <w:tab w:val="left" w:pos="6804"/>
        <w:tab w:val="right" w:pos="9498"/>
      </w:tabs>
      <w:spacing w:after="0"/>
      <w:ind w:left="-318"/>
      <w:rPr>
        <w:rFonts w:asciiTheme="minorHAnsi" w:hAnsiTheme="minorHAnsi" w:cs="Open Sans Light"/>
        <w:sz w:val="18"/>
        <w:szCs w:val="18"/>
      </w:rPr>
    </w:pPr>
    <w:r w:rsidRPr="0026265E">
      <w:rPr>
        <w:rFonts w:asciiTheme="minorHAnsi" w:hAnsiTheme="minorHAnsi" w:cs="Open Sans Light"/>
        <w:color w:val="0093CE"/>
        <w:sz w:val="18"/>
        <w:szCs w:val="18"/>
      </w:rPr>
      <w:t>GAIA ΕΠΙΧΕΙΡΕΙΝ Α.Ε.</w:t>
    </w:r>
    <w:r>
      <w:rPr>
        <w:rFonts w:asciiTheme="minorHAnsi" w:hAnsiTheme="minorHAnsi" w:cs="Open Sans Light"/>
        <w:color w:val="0093CE"/>
        <w:sz w:val="18"/>
        <w:szCs w:val="18"/>
      </w:rPr>
      <w:tab/>
    </w:r>
    <w:r>
      <w:rPr>
        <w:rFonts w:asciiTheme="minorHAnsi" w:hAnsiTheme="minorHAnsi" w:cs="Open Sans Light"/>
        <w:sz w:val="18"/>
        <w:szCs w:val="18"/>
      </w:rPr>
      <w:t xml:space="preserve">Λ. </w:t>
    </w:r>
    <w:proofErr w:type="spellStart"/>
    <w:r>
      <w:rPr>
        <w:rFonts w:asciiTheme="minorHAnsi" w:hAnsiTheme="minorHAnsi" w:cs="Open Sans Light"/>
        <w:sz w:val="18"/>
        <w:szCs w:val="18"/>
      </w:rPr>
      <w:t>Κηφισίας</w:t>
    </w:r>
    <w:proofErr w:type="spellEnd"/>
    <w:r>
      <w:rPr>
        <w:rFonts w:asciiTheme="minorHAnsi" w:hAnsiTheme="minorHAnsi" w:cs="Open Sans Light"/>
        <w:sz w:val="18"/>
        <w:szCs w:val="18"/>
      </w:rPr>
      <w:t xml:space="preserve"> </w:t>
    </w:r>
    <w:r w:rsidRPr="0026265E">
      <w:rPr>
        <w:rFonts w:asciiTheme="minorHAnsi" w:hAnsiTheme="minorHAnsi" w:cs="Open Sans Light"/>
        <w:sz w:val="18"/>
        <w:szCs w:val="18"/>
      </w:rPr>
      <w:t xml:space="preserve">&amp; </w:t>
    </w:r>
    <w:r>
      <w:rPr>
        <w:rFonts w:asciiTheme="minorHAnsi" w:hAnsiTheme="minorHAnsi" w:cs="Open Sans Light"/>
        <w:sz w:val="18"/>
        <w:szCs w:val="18"/>
      </w:rPr>
      <w:t>Παραδείσου</w:t>
    </w:r>
    <w:r w:rsidRPr="0026265E">
      <w:rPr>
        <w:rFonts w:asciiTheme="minorHAnsi" w:hAnsiTheme="minorHAnsi" w:cs="Open Sans Light"/>
        <w:sz w:val="18"/>
        <w:szCs w:val="18"/>
      </w:rPr>
      <w:t xml:space="preserve"> 2, ΤΚ: 15125, </w:t>
    </w:r>
    <w:r>
      <w:rPr>
        <w:rFonts w:asciiTheme="minorHAnsi" w:hAnsiTheme="minorHAnsi" w:cs="Open Sans Light"/>
        <w:sz w:val="18"/>
        <w:szCs w:val="18"/>
      </w:rPr>
      <w:t>Μαρούσι</w:t>
    </w:r>
    <w:r w:rsidRPr="0026265E">
      <w:rPr>
        <w:rFonts w:asciiTheme="minorHAnsi" w:hAnsiTheme="minorHAnsi" w:cs="Open Sans Light"/>
        <w:sz w:val="18"/>
        <w:szCs w:val="18"/>
      </w:rPr>
      <w:tab/>
    </w:r>
    <w:r w:rsidRPr="0026265E">
      <w:rPr>
        <w:rFonts w:asciiTheme="minorHAnsi" w:hAnsiTheme="minorHAnsi" w:cs="Open Sans Light"/>
        <w:color w:val="0C9DDD"/>
        <w:sz w:val="18"/>
        <w:szCs w:val="18"/>
      </w:rPr>
      <w:t>Τ</w:t>
    </w:r>
    <w:r w:rsidRPr="0026265E">
      <w:rPr>
        <w:rFonts w:asciiTheme="minorHAnsi" w:hAnsiTheme="minorHAnsi" w:cs="Open Sans Light"/>
        <w:sz w:val="18"/>
        <w:szCs w:val="18"/>
      </w:rPr>
      <w:t>:  2130187300</w:t>
    </w:r>
    <w:r w:rsidRPr="0026265E">
      <w:rPr>
        <w:rFonts w:asciiTheme="minorHAnsi" w:hAnsiTheme="minorHAnsi" w:cs="Open Sans Light"/>
        <w:sz w:val="18"/>
        <w:szCs w:val="18"/>
      </w:rPr>
      <w:tab/>
    </w:r>
    <w:r w:rsidRPr="0026265E">
      <w:rPr>
        <w:rFonts w:asciiTheme="minorHAnsi" w:hAnsiTheme="minorHAnsi" w:cs="Open Sans Light"/>
        <w:color w:val="0C9DDD"/>
        <w:sz w:val="18"/>
        <w:szCs w:val="18"/>
        <w:lang w:val="en-US"/>
      </w:rPr>
      <w:t>F</w:t>
    </w:r>
    <w:r w:rsidRPr="0026265E">
      <w:rPr>
        <w:rFonts w:asciiTheme="minorHAnsi" w:hAnsiTheme="minorHAnsi" w:cs="Open Sans Light"/>
        <w:sz w:val="18"/>
        <w:szCs w:val="18"/>
      </w:rPr>
      <w:t xml:space="preserve">: 2130187399 </w:t>
    </w:r>
    <w:r>
      <w:rPr>
        <w:rFonts w:asciiTheme="minorHAnsi" w:hAnsiTheme="minorHAnsi" w:cs="Open Sans Light"/>
        <w:sz w:val="18"/>
        <w:szCs w:val="18"/>
      </w:rPr>
      <w:tab/>
    </w:r>
    <w:r w:rsidRPr="0026265E">
      <w:rPr>
        <w:rFonts w:asciiTheme="minorHAnsi" w:hAnsiTheme="minorHAnsi" w:cs="Open Sans Light"/>
        <w:color w:val="0C9DDD"/>
        <w:sz w:val="18"/>
        <w:szCs w:val="18"/>
        <w:lang w:val="en-US"/>
      </w:rPr>
      <w:t>E</w:t>
    </w:r>
    <w:r w:rsidRPr="0026265E">
      <w:rPr>
        <w:rFonts w:asciiTheme="minorHAnsi" w:hAnsiTheme="minorHAnsi" w:cs="Open Sans Light"/>
        <w:sz w:val="18"/>
        <w:szCs w:val="18"/>
      </w:rPr>
      <w:t xml:space="preserve">: </w:t>
    </w:r>
    <w:r w:rsidRPr="0026265E">
      <w:rPr>
        <w:rFonts w:asciiTheme="minorHAnsi" w:hAnsiTheme="minorHAnsi" w:cs="Open Sans Light"/>
        <w:sz w:val="18"/>
        <w:szCs w:val="18"/>
        <w:lang w:val="en-US"/>
      </w:rPr>
      <w:t>info</w:t>
    </w:r>
    <w:r w:rsidRPr="0026265E">
      <w:rPr>
        <w:rFonts w:asciiTheme="minorHAnsi" w:hAnsiTheme="minorHAnsi" w:cs="Open Sans Light"/>
        <w:sz w:val="18"/>
        <w:szCs w:val="18"/>
      </w:rPr>
      <w:t>@</w:t>
    </w:r>
    <w:r w:rsidRPr="0026265E">
      <w:rPr>
        <w:rFonts w:asciiTheme="minorHAnsi" w:hAnsiTheme="minorHAnsi" w:cs="Open Sans Light"/>
        <w:sz w:val="18"/>
        <w:szCs w:val="18"/>
        <w:lang w:val="en-US"/>
      </w:rPr>
      <w:t>c</w:t>
    </w:r>
    <w:r w:rsidRPr="0026265E">
      <w:rPr>
        <w:rFonts w:asciiTheme="minorHAnsi" w:hAnsiTheme="minorHAnsi" w:cs="Open Sans Light"/>
        <w:sz w:val="18"/>
        <w:szCs w:val="18"/>
      </w:rPr>
      <w:t>-</w:t>
    </w:r>
    <w:proofErr w:type="spellStart"/>
    <w:r w:rsidRPr="0026265E">
      <w:rPr>
        <w:rFonts w:asciiTheme="minorHAnsi" w:hAnsiTheme="minorHAnsi" w:cs="Open Sans Light"/>
        <w:sz w:val="18"/>
        <w:szCs w:val="18"/>
        <w:lang w:val="en-US"/>
      </w:rPr>
      <w:t>gaia</w:t>
    </w:r>
    <w:proofErr w:type="spellEnd"/>
    <w:r w:rsidRPr="0026265E">
      <w:rPr>
        <w:rFonts w:asciiTheme="minorHAnsi" w:hAnsiTheme="minorHAnsi" w:cs="Open Sans Light"/>
        <w:sz w:val="18"/>
        <w:szCs w:val="18"/>
      </w:rPr>
      <w:t>.</w:t>
    </w:r>
    <w:r w:rsidRPr="0026265E">
      <w:rPr>
        <w:rFonts w:asciiTheme="minorHAnsi" w:hAnsiTheme="minorHAnsi" w:cs="Open Sans Light"/>
        <w:sz w:val="18"/>
        <w:szCs w:val="18"/>
        <w:lang w:val="en-US"/>
      </w:rPr>
      <w:t>gr</w:t>
    </w:r>
    <w:r w:rsidRPr="0026265E">
      <w:rPr>
        <w:rFonts w:asciiTheme="minorHAnsi" w:hAnsiTheme="minorHAnsi" w:cs="Open Sans Light"/>
        <w:sz w:val="18"/>
        <w:szCs w:val="18"/>
      </w:rPr>
      <w:t xml:space="preserve">   </w:t>
    </w:r>
  </w:p>
  <w:p w:rsidR="00C4161B" w:rsidRPr="00D27A91" w:rsidRDefault="00C4161B" w:rsidP="00C4161B">
    <w:pPr>
      <w:tabs>
        <w:tab w:val="center" w:pos="4395"/>
        <w:tab w:val="right" w:pos="9638"/>
      </w:tabs>
      <w:spacing w:after="0"/>
      <w:ind w:left="-318"/>
      <w:rPr>
        <w:sz w:val="18"/>
        <w:szCs w:val="18"/>
      </w:rPr>
    </w:pPr>
    <w:r>
      <w:rPr>
        <w:rFonts w:asciiTheme="minorHAnsi" w:hAnsiTheme="minorHAnsi" w:cs="Open Sans Light"/>
        <w:color w:val="0093CE"/>
        <w:spacing w:val="120"/>
      </w:rPr>
      <w:tab/>
    </w:r>
    <w:r w:rsidRPr="0026265E">
      <w:rPr>
        <w:rFonts w:asciiTheme="minorHAnsi" w:hAnsiTheme="minorHAnsi" w:cs="Open Sans Light"/>
        <w:color w:val="0093CE"/>
        <w:spacing w:val="120"/>
      </w:rPr>
      <w:t>www.c-gaia.gr</w:t>
    </w:r>
    <w:r w:rsidRPr="00D27A91">
      <w:rPr>
        <w:rFonts w:asciiTheme="minorHAnsi" w:hAnsiTheme="minorHAnsi" w:cs="Open Sans Light"/>
        <w:sz w:val="18"/>
        <w:szCs w:val="18"/>
      </w:rPr>
      <w:t xml:space="preserve"> </w:t>
    </w:r>
    <w:r>
      <w:rPr>
        <w:rFonts w:asciiTheme="minorHAnsi" w:hAnsiTheme="minorHAnsi" w:cs="Open Sans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8" w:rsidRDefault="009512F8">
      <w:r>
        <w:separator/>
      </w:r>
    </w:p>
  </w:footnote>
  <w:footnote w:type="continuationSeparator" w:id="0">
    <w:p w:rsidR="009512F8" w:rsidRDefault="0095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7" w:type="dxa"/>
      <w:jc w:val="center"/>
      <w:tblLayout w:type="fixed"/>
      <w:tblLook w:val="01E0" w:firstRow="1" w:lastRow="1" w:firstColumn="1" w:lastColumn="1" w:noHBand="0" w:noVBand="0"/>
    </w:tblPr>
    <w:tblGrid>
      <w:gridCol w:w="1411"/>
      <w:gridCol w:w="6747"/>
      <w:gridCol w:w="887"/>
      <w:gridCol w:w="1282"/>
    </w:tblGrid>
    <w:tr w:rsidR="00C4161B" w:rsidRPr="00C4161B" w:rsidTr="00C4161B">
      <w:trPr>
        <w:trHeight w:hRule="exact" w:val="781"/>
        <w:jc w:val="center"/>
      </w:trPr>
      <w:tc>
        <w:tcPr>
          <w:tcW w:w="1411" w:type="dxa"/>
          <w:vAlign w:val="center"/>
        </w:tcPr>
        <w:p w:rsidR="00C4161B" w:rsidRPr="00C4161B" w:rsidRDefault="009512F8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Open Sans Light" w:eastAsia="Calibri" w:hAnsi="Open Sans Light" w:cs="Open Sans Light"/>
              <w:noProof/>
              <w:color w:val="0093CE"/>
            </w:rPr>
          </w:pPr>
          <w:r>
            <w:rPr>
              <w:rFonts w:ascii="Open Sans Light" w:eastAsia="Calibri" w:hAnsi="Open Sans Light" w:cs="Open Sans Light"/>
              <w:noProof/>
              <w:color w:val="0093CE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.85pt;margin-top:-11.6pt;width:40.9pt;height:57.85pt;z-index:251660288">
                <v:imagedata r:id="rId1" o:title=""/>
              </v:shape>
              <o:OLEObject Type="Embed" ProgID="PBrush" ShapeID="_x0000_s2051" DrawAspect="Content" ObjectID="_1545045728" r:id="rId2"/>
            </w:object>
          </w:r>
        </w:p>
      </w:tc>
      <w:tc>
        <w:tcPr>
          <w:tcW w:w="6747" w:type="dxa"/>
          <w:vAlign w:val="center"/>
        </w:tcPr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mbria" w:eastAsia="Calibri" w:hAnsi="Cambria" w:cs="Open Sans Light"/>
              <w:b/>
              <w:noProof/>
              <w:color w:val="0093CE"/>
              <w:sz w:val="24"/>
              <w:szCs w:val="24"/>
            </w:rPr>
          </w:pPr>
          <w:r w:rsidRPr="00C4161B">
            <w:rPr>
              <w:rFonts w:ascii="Cambria" w:eastAsia="Calibri" w:hAnsi="Cambria" w:cs="Open Sans Light"/>
              <w:b/>
              <w:noProof/>
              <w:color w:val="0093CE"/>
              <w:sz w:val="24"/>
              <w:szCs w:val="24"/>
            </w:rPr>
            <w:t xml:space="preserve">Τα πάντα για την εξυπηρέτηση του αγρότη </w:t>
          </w:r>
        </w:p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Theme="minorHAnsi" w:eastAsia="Calibri" w:hAnsiTheme="minorHAnsi" w:cs="Open Sans Light"/>
              <w:b/>
              <w:i/>
              <w:noProof/>
              <w:color w:val="0093CE"/>
            </w:rPr>
          </w:pPr>
        </w:p>
      </w:tc>
      <w:tc>
        <w:tcPr>
          <w:tcW w:w="887" w:type="dxa"/>
          <w:vAlign w:val="center"/>
        </w:tcPr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Open Sans Light" w:eastAsia="Calibri" w:hAnsi="Open Sans Light" w:cs="Open Sans Light"/>
              <w:noProof/>
              <w:color w:val="0093CE"/>
            </w:rPr>
          </w:pPr>
          <w:r w:rsidRPr="00C4161B">
            <w:rPr>
              <w:rFonts w:ascii="Open Sans Light" w:eastAsia="Calibri" w:hAnsi="Open Sans Light" w:cs="Open Sans Light"/>
              <w:noProof/>
              <w:color w:val="0093CE"/>
              <w:lang w:eastAsia="el-GR"/>
            </w:rPr>
            <w:drawing>
              <wp:inline distT="0" distB="0" distL="0" distR="0">
                <wp:extent cx="465455" cy="342265"/>
                <wp:effectExtent l="0" t="0" r="0" b="635"/>
                <wp:docPr id="5" name="Picture 19" descr="iso27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27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2" w:type="dxa"/>
          <w:vAlign w:val="center"/>
        </w:tcPr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eastAsia="Calibri" w:cs="Open Sans Light"/>
              <w:b/>
              <w:noProof/>
              <w:sz w:val="12"/>
              <w:szCs w:val="12"/>
              <w:lang w:val="en-US"/>
            </w:rPr>
          </w:pPr>
          <w:r w:rsidRPr="00C4161B">
            <w:rPr>
              <w:rFonts w:eastAsia="Calibri" w:cs="Open Sans Light"/>
              <w:b/>
              <w:noProof/>
              <w:sz w:val="12"/>
              <w:szCs w:val="12"/>
              <w:lang w:val="en-US"/>
            </w:rPr>
            <w:t>EN ISO 27001:2005</w:t>
          </w:r>
        </w:p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eastAsia="Calibri" w:cs="Open Sans Light"/>
              <w:noProof/>
              <w:sz w:val="12"/>
              <w:szCs w:val="12"/>
              <w:lang w:val="en-US"/>
            </w:rPr>
          </w:pPr>
          <w:r w:rsidRPr="00C4161B">
            <w:rPr>
              <w:rFonts w:eastAsia="Calibri" w:cs="Open Sans Light"/>
              <w:noProof/>
              <w:sz w:val="12"/>
              <w:szCs w:val="12"/>
              <w:lang w:val="en-US"/>
            </w:rPr>
            <w:t>No:</w:t>
          </w:r>
          <w:r w:rsidRPr="00C4161B">
            <w:rPr>
              <w:rFonts w:ascii="Open Sans Light" w:eastAsia="Calibri" w:hAnsi="Open Sans Light" w:cs="Open Sans Light"/>
              <w:noProof/>
              <w:lang w:val="en-US"/>
            </w:rPr>
            <w:t xml:space="preserve"> </w:t>
          </w:r>
          <w:r w:rsidRPr="00C4161B">
            <w:rPr>
              <w:rFonts w:eastAsia="Calibri" w:cs="Open Sans Light"/>
              <w:noProof/>
              <w:sz w:val="12"/>
              <w:szCs w:val="12"/>
              <w:lang w:val="en-US"/>
            </w:rPr>
            <w:t>08014002/00</w:t>
          </w:r>
        </w:p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eastAsia="Calibri" w:cs="Open Sans Light"/>
              <w:noProof/>
              <w:sz w:val="12"/>
              <w:szCs w:val="12"/>
              <w:lang w:val="en-US"/>
            </w:rPr>
          </w:pPr>
        </w:p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eastAsia="Calibri" w:cs="Open Sans Light"/>
              <w:b/>
              <w:noProof/>
              <w:sz w:val="12"/>
              <w:szCs w:val="12"/>
              <w:lang w:val="en-US"/>
            </w:rPr>
          </w:pPr>
          <w:r w:rsidRPr="00C4161B">
            <w:rPr>
              <w:rFonts w:eastAsia="Calibri" w:cs="Open Sans Light"/>
              <w:b/>
              <w:noProof/>
              <w:sz w:val="12"/>
              <w:szCs w:val="12"/>
              <w:lang w:val="en-US"/>
            </w:rPr>
            <w:t>EN ISO 9001:2008</w:t>
          </w:r>
        </w:p>
        <w:p w:rsidR="00C4161B" w:rsidRPr="00C4161B" w:rsidRDefault="00C4161B" w:rsidP="00C416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Open Sans Light" w:eastAsia="Calibri" w:hAnsi="Open Sans Light" w:cs="Open Sans Light"/>
              <w:noProof/>
              <w:sz w:val="12"/>
              <w:szCs w:val="12"/>
            </w:rPr>
          </w:pPr>
          <w:r w:rsidRPr="00C4161B">
            <w:rPr>
              <w:rFonts w:eastAsia="Calibri" w:cs="Open Sans Light"/>
              <w:noProof/>
              <w:sz w:val="12"/>
              <w:szCs w:val="12"/>
              <w:lang w:val="en-US"/>
            </w:rPr>
            <w:t>No:</w:t>
          </w:r>
          <w:r w:rsidRPr="00C4161B">
            <w:rPr>
              <w:rFonts w:ascii="Open Sans Light" w:eastAsia="Calibri" w:hAnsi="Open Sans Light" w:cs="Open Sans Light"/>
              <w:noProof/>
            </w:rPr>
            <w:t xml:space="preserve"> </w:t>
          </w:r>
          <w:r w:rsidRPr="00C4161B">
            <w:rPr>
              <w:rFonts w:eastAsia="Calibri" w:cs="Open Sans Light"/>
              <w:noProof/>
              <w:sz w:val="12"/>
              <w:szCs w:val="12"/>
              <w:lang w:val="en-US"/>
            </w:rPr>
            <w:t>010140015</w:t>
          </w:r>
          <w:r w:rsidRPr="00C4161B">
            <w:rPr>
              <w:rFonts w:eastAsia="Calibri" w:cs="Open Sans Light"/>
              <w:noProof/>
              <w:sz w:val="12"/>
              <w:szCs w:val="12"/>
            </w:rPr>
            <w:t>/00</w:t>
          </w:r>
        </w:p>
      </w:tc>
    </w:tr>
  </w:tbl>
  <w:p w:rsidR="007A0215" w:rsidRDefault="007A0215" w:rsidP="00C4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BB"/>
    <w:rsid w:val="00072418"/>
    <w:rsid w:val="000B70C9"/>
    <w:rsid w:val="000F6CAE"/>
    <w:rsid w:val="00104FEE"/>
    <w:rsid w:val="001152C2"/>
    <w:rsid w:val="0011783A"/>
    <w:rsid w:val="00165109"/>
    <w:rsid w:val="0017672E"/>
    <w:rsid w:val="001E48DF"/>
    <w:rsid w:val="00290670"/>
    <w:rsid w:val="002A6BBB"/>
    <w:rsid w:val="00310707"/>
    <w:rsid w:val="00315B58"/>
    <w:rsid w:val="003C73F6"/>
    <w:rsid w:val="00456F2E"/>
    <w:rsid w:val="004F0576"/>
    <w:rsid w:val="00532169"/>
    <w:rsid w:val="005572CF"/>
    <w:rsid w:val="0057352D"/>
    <w:rsid w:val="005C68F6"/>
    <w:rsid w:val="005E426E"/>
    <w:rsid w:val="00641C9A"/>
    <w:rsid w:val="006543CD"/>
    <w:rsid w:val="00664435"/>
    <w:rsid w:val="006745A8"/>
    <w:rsid w:val="006A686C"/>
    <w:rsid w:val="006C0FA8"/>
    <w:rsid w:val="006C234E"/>
    <w:rsid w:val="007140BB"/>
    <w:rsid w:val="00772EFE"/>
    <w:rsid w:val="007816C7"/>
    <w:rsid w:val="007822D0"/>
    <w:rsid w:val="00786C28"/>
    <w:rsid w:val="007A0215"/>
    <w:rsid w:val="007D2A12"/>
    <w:rsid w:val="007E3C4F"/>
    <w:rsid w:val="007F70B3"/>
    <w:rsid w:val="00804460"/>
    <w:rsid w:val="00813505"/>
    <w:rsid w:val="00895E63"/>
    <w:rsid w:val="008B4674"/>
    <w:rsid w:val="0092368A"/>
    <w:rsid w:val="00925ABA"/>
    <w:rsid w:val="009512F8"/>
    <w:rsid w:val="00984001"/>
    <w:rsid w:val="009A3EF4"/>
    <w:rsid w:val="009B3599"/>
    <w:rsid w:val="009C3902"/>
    <w:rsid w:val="00A16F85"/>
    <w:rsid w:val="00A36602"/>
    <w:rsid w:val="00AB1D39"/>
    <w:rsid w:val="00AC029E"/>
    <w:rsid w:val="00AD2425"/>
    <w:rsid w:val="00AF5DBD"/>
    <w:rsid w:val="00AF7EB9"/>
    <w:rsid w:val="00B2799C"/>
    <w:rsid w:val="00B536A8"/>
    <w:rsid w:val="00B57F68"/>
    <w:rsid w:val="00B83CB9"/>
    <w:rsid w:val="00B9084B"/>
    <w:rsid w:val="00BC33C5"/>
    <w:rsid w:val="00C4161B"/>
    <w:rsid w:val="00C46B80"/>
    <w:rsid w:val="00C535FE"/>
    <w:rsid w:val="00C6111A"/>
    <w:rsid w:val="00D20116"/>
    <w:rsid w:val="00D50261"/>
    <w:rsid w:val="00D63449"/>
    <w:rsid w:val="00D81E5A"/>
    <w:rsid w:val="00DA5586"/>
    <w:rsid w:val="00DB3118"/>
    <w:rsid w:val="00DC07B8"/>
    <w:rsid w:val="00DD3E71"/>
    <w:rsid w:val="00DD5333"/>
    <w:rsid w:val="00DD723B"/>
    <w:rsid w:val="00E25206"/>
    <w:rsid w:val="00F06142"/>
    <w:rsid w:val="00F913FB"/>
    <w:rsid w:val="00FA476F"/>
    <w:rsid w:val="00FC627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BA11C223-4750-4696-AF71-16621D46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C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1C9A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F061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72E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EFE"/>
  </w:style>
  <w:style w:type="paragraph" w:styleId="Header">
    <w:name w:val="header"/>
    <w:basedOn w:val="Normal"/>
    <w:link w:val="HeaderChar"/>
    <w:rsid w:val="007A0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0215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rsid w:val="00BC33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1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c-gaia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Πρώτη Ανακοίνωση</vt:lpstr>
      <vt:lpstr>Πρώτη Ανακοίνωση</vt:lpstr>
    </vt:vector>
  </TitlesOfParts>
  <Company>-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Πρώτη Ανακοίνωση</dc:title>
  <dc:creator>Giorgos Kormentzas</dc:creator>
  <cp:lastModifiedBy>ch_diamantopoulos</cp:lastModifiedBy>
  <cp:revision>2</cp:revision>
  <cp:lastPrinted>2016-09-29T11:50:00Z</cp:lastPrinted>
  <dcterms:created xsi:type="dcterms:W3CDTF">2017-01-04T12:36:00Z</dcterms:created>
  <dcterms:modified xsi:type="dcterms:W3CDTF">2017-01-04T12:36:00Z</dcterms:modified>
</cp:coreProperties>
</file>